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r>
        <w:object w:dxaOrig="5616" w:dyaOrig="3892">
          <v:rect xmlns:o="urn:schemas-microsoft-com:office:office" xmlns:v="urn:schemas-microsoft-com:vml" id="rectole0000000000" style="width:280.800000pt;height:19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40"/>
          <w:shd w:fill="auto" w:val="clear"/>
        </w:rPr>
        <w:t xml:space="preserve">IV </w:t>
      </w:r>
      <w:r>
        <w:rPr>
          <w:rFonts w:ascii="Times New Roman" w:hAnsi="Times New Roman" w:cs="Times New Roman" w:eastAsia="Times New Roman"/>
          <w:b/>
          <w:color w:val="auto"/>
          <w:spacing w:val="0"/>
          <w:position w:val="0"/>
          <w:sz w:val="40"/>
          <w:shd w:fill="auto" w:val="clear"/>
        </w:rPr>
        <w:t xml:space="preserve">Международная научно-практическая онлайн-конференция</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Криминализация общества в эпоху применения цифровых технологий и оружия на новых физических принципах, включая оружие, поражающее излучением</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Москва, 12-15 июня 2020 г.</w:t>
      </w:r>
    </w:p>
    <w:p>
      <w:pPr>
        <w:spacing w:before="0" w:after="200" w:line="276"/>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РЕЗОЛЮЦИЯ</w:t>
      </w:r>
    </w:p>
    <w:p>
      <w:pPr>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IV </w:t>
      </w:r>
      <w:r>
        <w:rPr>
          <w:rFonts w:ascii="Times New Roman" w:hAnsi="Times New Roman" w:cs="Times New Roman" w:eastAsia="Times New Roman"/>
          <w:color w:val="auto"/>
          <w:spacing w:val="0"/>
          <w:position w:val="0"/>
          <w:sz w:val="24"/>
          <w:shd w:fill="auto" w:val="clear"/>
        </w:rPr>
        <w:t xml:space="preserve">Международная научно-практическая онлайн-конференция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Криминализация общества в эпоху применения цифровых технологий и оружия на новых физических принципах, включая оружие, поражающее излучением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выявила, что на фоне достижений искусственного интеллекта, квантовой физики, общей теории поля, микроэлектроники, нейрокомпьютеров, систем обеспечения БОС (биологической обратной связи), перспектив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Умных городов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мире действительно открываются широкие возможности насаждения идей индивидуально-массового порабощения, вплоть до уничтожения населения посредствам чипизации и дистанционного корректирования психофизических процессов, в том числе мышления. </w:t>
      </w:r>
    </w:p>
    <w:p>
      <w:pPr>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конференции был сделан также акцент на аналоги некоторых признаков, симптомов, сопутствующих проблем у пострадавших от пандемии Covid-19 и патологий у людей, подвергшихся различного рода облучениям, в том числе через искусственно созданную точку доступа (чип-переизлучатель) внутри организма или в контакте  с ним. </w:t>
      </w:r>
    </w:p>
    <w:p>
      <w:pPr>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Информация о разработках и производстве оружия, поражающего излучением, в ряде стран мира имеется, но не достаточна. Законодательство государств, по-видимому, не закрывает возможности, в том числе для транснационального криминала, применять данный вид оружия для ганг сталкинга (включая, причинение вреда здоровью, искажение социальной сферы), индивидуального и массового кодирования населения, установки поведенческих моделей, стимуляции намерений с подключением мелкой и крупной моторики, шантажа, промышленного шпионажа по отношению к жертвам любых национальностей, социальных и возрастных категорий (включая детский сектор). В средствах массовой информации не удалось найти указаний на раскрытие правоохранительными органами преступлений с указанным видом оружия.</w:t>
      </w:r>
    </w:p>
    <w:p>
      <w:pPr>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докладах участников конференции были представлены косвенные подтверждения применения указанного типа оружия к домашним животным. </w:t>
      </w:r>
    </w:p>
    <w:p>
      <w:pPr>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Конференция отмечает многолетнюю работу С. Я. Ворошилова по подготовке предложений о поправках в Уголовный кодекс Российской Федерации, касающихся ответственности за применение такого оружия, внесенных в Государственную Думу и распространенных среди законодательных органов субъектов Российской Федерации. </w:t>
      </w:r>
    </w:p>
    <w:p>
      <w:pPr>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Заслушав выступления представителей общественных организаций, ученых и жертв возможного применения оружия, поражающего излучением, участники конференции требуют от государственных органов и предлагают: </w:t>
      </w:r>
    </w:p>
    <w:p>
      <w:pPr>
        <w:numPr>
          <w:ilvl w:val="0"/>
          <w:numId w:val="5"/>
        </w:numPr>
        <w:spacing w:before="0" w:after="60" w:line="276"/>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Срочно рассмотреть Государственной Думой Федерального Собрания Российской Федерации и в развитие 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дополнения в статью 6 Федерального закона "Об оружии"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26.07.2001 года №103-ФЗ) принять предложения по дополнению Уголовного кодекса Российской Федерации следующими нормами (статьями):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221-1. Применение, запрещенных к обороту электромагнитных, инфразвуковых, ультразвуковых или иных других видов излучателей, с целью причинения вреда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221-2. Незаконное обращение с запрещенными к обороту электромагнитными, инфразвуковыми, ультразвуковыми и иными видами излучателей или носителей информации по их изготовлению или применению</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221-3. Незаконное изготовление излучателей, запрещенных к обороту</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3 </w:t>
      </w:r>
      <w:r>
        <w:rPr>
          <w:rFonts w:ascii="Times New Roman" w:hAnsi="Times New Roman" w:cs="Times New Roman" w:eastAsia="Times New Roman"/>
          <w:color w:val="auto"/>
          <w:spacing w:val="0"/>
          <w:position w:val="0"/>
          <w:sz w:val="24"/>
          <w:shd w:fill="auto" w:val="clear"/>
        </w:rPr>
        <w:t xml:space="preserve">;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221-4. Хищение либо вымогательство электромагнитных, инфразвуковых, ультразвуковых или других видов излучателей, запрещенных к обороту</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4 </w:t>
      </w:r>
      <w:r>
        <w:rPr>
          <w:rFonts w:ascii="Times New Roman" w:hAnsi="Times New Roman" w:cs="Times New Roman" w:eastAsia="Times New Roman"/>
          <w:color w:val="auto"/>
          <w:spacing w:val="0"/>
          <w:position w:val="0"/>
          <w:sz w:val="24"/>
          <w:shd w:fill="auto" w:val="clear"/>
        </w:rPr>
        <w:t xml:space="preserve">;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221-5. Незаконное применение специальных технических устройств, программ по кодированию или препаратов с целью управления психикой человека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221-6. Незаконные разработка, производство, приобретение, хранение, перевозка, передача, сбыт специальных технических устройств, программ по кодированию или препаратов, предназначенных для управления психофизиологическим состоянием человека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244-1. Незаконное изъятие органов и (или) тканей трупа человека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7</w:t>
      </w:r>
      <w:r>
        <w:rPr>
          <w:rFonts w:ascii="Times New Roman" w:hAnsi="Times New Roman" w:cs="Times New Roman" w:eastAsia="Times New Roman"/>
          <w:color w:val="auto"/>
          <w:spacing w:val="0"/>
          <w:position w:val="0"/>
          <w:sz w:val="24"/>
          <w:shd w:fill="auto" w:val="clear"/>
        </w:rPr>
        <w:t xml:space="preserve">;</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355-1. Разработка, производство, приобретение, хранение, перевозка, передача, сбыт электромагнитных, инфразвуковых, ультразвуковых и иных видов излучателей, предназначенных для применения в качестве оружия массового поражения</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0"/>
          <w:position w:val="0"/>
          <w:sz w:val="24"/>
          <w:shd w:fill="auto" w:val="clear"/>
        </w:rPr>
        <w:t xml:space="preserve">;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статья 356-1. Применение электромагнитных, инфразвуковых, ультразвуковых или других видов излучателей в качестве оружия массового поражения</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9</w:t>
      </w:r>
      <w:r>
        <w:rPr>
          <w:rFonts w:ascii="Times New Roman" w:hAnsi="Times New Roman" w:cs="Times New Roman" w:eastAsia="Times New Roman"/>
          <w:color w:val="auto"/>
          <w:spacing w:val="0"/>
          <w:position w:val="0"/>
          <w:sz w:val="24"/>
          <w:shd w:fill="auto" w:val="clear"/>
        </w:rPr>
        <w:t xml:space="preserve">; </w:t>
      </w:r>
    </w:p>
    <w:p>
      <w:pPr>
        <w:numPr>
          <w:ilvl w:val="0"/>
          <w:numId w:val="5"/>
        </w:numPr>
        <w:spacing w:before="0" w:after="60" w:line="276"/>
        <w:ind w:right="0" w:left="709"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дополнении абзацем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части 2, статьи 105, главы 16 раздела VII Уголовного кодекса Российской Федерации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w:t>
      </w:r>
    </w:p>
    <w:p>
      <w:pPr>
        <w:spacing w:before="0" w:after="60" w:line="276"/>
        <w:ind w:right="0" w:left="425"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_______________________________________________________________________________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06 декабря 2018 года №2.8-15-187155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06 декабря 2018 года №2.8-15-187155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06 декабря 2018 года №2.8-15-187155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06 декабря 2018 года №2.8-15-187155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5</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28 декабря 2018 года №2.8-15-197879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6</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28 декабря 2018 года №2.8-15-197879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 </w:t>
      </w:r>
      <w:r>
        <w:rPr>
          <w:rFonts w:ascii="Times New Roman" w:hAnsi="Times New Roman" w:cs="Times New Roman" w:eastAsia="Times New Roman"/>
          <w:color w:val="auto"/>
          <w:spacing w:val="0"/>
          <w:position w:val="0"/>
          <w:sz w:val="20"/>
          <w:shd w:fill="auto" w:val="clear"/>
        </w:rPr>
        <w:t xml:space="preserve">вх. от 28 декабря 2018 года №2.8-15-197624</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8</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06 декабря 2018 года №2.8-15-187155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9</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вх. от 06 декабря 2018 года №2.8-15-187155 </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10 </w:t>
      </w:r>
      <w:r>
        <w:rPr>
          <w:rFonts w:ascii="Times New Roman" w:hAnsi="Times New Roman" w:cs="Times New Roman" w:eastAsia="Times New Roman"/>
          <w:color w:val="auto"/>
          <w:spacing w:val="0"/>
          <w:position w:val="0"/>
          <w:sz w:val="20"/>
          <w:shd w:fill="auto" w:val="clear"/>
        </w:rPr>
        <w:t xml:space="preserve">вх. от 06 декабря 2018 года №2.8-15-187147</w:t>
      </w:r>
    </w:p>
    <w:p>
      <w:pPr>
        <w:spacing w:before="0" w:after="60" w:line="276"/>
        <w:ind w:right="0" w:left="425" w:firstLine="0"/>
        <w:jc w:val="both"/>
        <w:rPr>
          <w:rFonts w:ascii="Times New Roman" w:hAnsi="Times New Roman" w:cs="Times New Roman" w:eastAsia="Times New Roman"/>
          <w:color w:val="auto"/>
          <w:spacing w:val="0"/>
          <w:position w:val="0"/>
          <w:sz w:val="20"/>
          <w:shd w:fill="auto" w:val="clear"/>
        </w:rPr>
      </w:pPr>
    </w:p>
    <w:p>
      <w:pPr>
        <w:numPr>
          <w:ilvl w:val="0"/>
          <w:numId w:val="8"/>
        </w:numPr>
        <w:tabs>
          <w:tab w:val="left" w:pos="720" w:leader="none"/>
        </w:tabs>
        <w:spacing w:before="0" w:after="60" w:line="276"/>
        <w:ind w:right="0" w:left="0" w:firstLine="42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Ввести полный запрет на принудительное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электронное чипирование человека</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внедрение биоимплантов с функциями, допускающими внешнее управление психофизическим и психосоматическим состоянием человека</w:t>
      </w:r>
      <w:r>
        <w:rPr>
          <w:rFonts w:ascii="Times New Roman" w:hAnsi="Times New Roman" w:cs="Times New Roman" w:eastAsia="Times New Roman"/>
          <w:color w:val="auto"/>
          <w:spacing w:val="0"/>
          <w:position w:val="0"/>
          <w:sz w:val="24"/>
          <w:shd w:fill="auto" w:val="clear"/>
        </w:rPr>
        <w:t xml:space="preserve">.  Инициатива была предложена КПРФ еще в 2014г.</w:t>
      </w:r>
    </w:p>
    <w:p>
      <w:pPr>
        <w:numPr>
          <w:ilvl w:val="0"/>
          <w:numId w:val="8"/>
        </w:numPr>
        <w:tabs>
          <w:tab w:val="left" w:pos="720" w:leader="none"/>
        </w:tabs>
        <w:spacing w:before="0" w:after="60" w:line="276"/>
        <w:ind w:right="0" w:left="0" w:firstLine="425"/>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Изучить возможность обеспечения населения индивидуальными средствами защиты от электромагнитных излучений (в т.ч. корректорами – нейтрализаторами) и персональными дозиметрами, а также приборами контроля уровней излучения в различных диапазонах частот.</w:t>
      </w:r>
    </w:p>
    <w:p>
      <w:pPr>
        <w:spacing w:before="100" w:after="100" w:line="240"/>
        <w:ind w:right="0" w:left="7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Дополнительно:</w:t>
      </w:r>
    </w:p>
    <w:p>
      <w:pPr>
        <w:numPr>
          <w:ilvl w:val="0"/>
          <w:numId w:val="10"/>
        </w:numPr>
        <w:spacing w:before="0" w:after="60" w:line="276"/>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основе Устава ООН и норм международного права, Организации объединенных наций необходимо принять Конвенцию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запрещении оружия излучающего типа как оружия массового поражения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Также необходимо провести международные переговоры о раскрытии секретных материалов исследований электромагнитных и акустических полей, связанных с нанесением вреда здоровью людей и животных, с целью разработки методик распознавания событий скрытого применения оружия, поражающего излучением, методов и способов защиты гражданского населения от такого оружия.</w:t>
      </w:r>
    </w:p>
    <w:p>
      <w:pPr>
        <w:numPr>
          <w:ilvl w:val="0"/>
          <w:numId w:val="10"/>
        </w:numPr>
        <w:spacing w:before="0" w:after="60" w:line="276"/>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Остановить развертывание в России высокоскоростного беспроводного интернета 5G в связи с недостаточной изученностью последствий воздействия структуры радиочастотного сигнала на биологические объекты (в частности, на ДНК), а также с целью исключения хакерских атак на датчики и устройства управления  (чипы) в системах интернета вещей.</w:t>
      </w:r>
    </w:p>
    <w:p>
      <w:pPr>
        <w:numPr>
          <w:ilvl w:val="0"/>
          <w:numId w:val="10"/>
        </w:numPr>
        <w:spacing w:before="0" w:after="60" w:line="276"/>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Минздраву России, Минпросвещения России, Роспотребнадзору разработать меры по безопасному использованию радиочастотных сканеров (профилактика онкологии), ограничить или прекратить использование радиочастотной идентификации (RFID) на частоте 13,56 Мгц до разработки методик её безопасного применения в общественных местах, образовательных и детских учреждениях.</w:t>
      </w:r>
    </w:p>
    <w:p>
      <w:pPr>
        <w:numPr>
          <w:ilvl w:val="0"/>
          <w:numId w:val="10"/>
        </w:numPr>
        <w:spacing w:before="0" w:after="60" w:line="276"/>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Создать при Правительстве Российской Федерации Экспертно-криминалистический и научный центры для реализации Федерального закона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 внесении дополнения в статью 6 Федерального закона "Об оружии"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 26.07.2001 года №103-фз  с целью дифференцирования и выделения в отдельное производство общеуголовных преступлений, преступлений террористической, экстремистской направленности, осуществляемых против гражданского населения с применением средств излучающего типа, переизлучающего типа (биоимпланты-чипы, внешние гаджеты и др.)  по фактам: причинения вреда здоровью, смерти, воздействия на механизм принятия решения. Деятельность центров должна осуществляться совместно с физическими, медицинскими, биологическими институтами РАН, МЧС при участии представителей общественных организаций.</w:t>
      </w:r>
    </w:p>
    <w:p>
      <w:pPr>
        <w:numPr>
          <w:ilvl w:val="0"/>
          <w:numId w:val="10"/>
        </w:numPr>
        <w:spacing w:before="0" w:after="60" w:line="276"/>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Разработать государственную программу проведения открытых исследований научными организациями, подведомственными Минобрнауки России, воздействия электромагнитных полей на жизнедеятельность человека и животных, влияния антропогенного и техногенного переноса от агрессора (любого типа) сфокусированных потоков нано- и микроразмерных частиц, обладающих поражающими свойствами инфекционного, химического, физического плана. Выделить необходимые средства для реализации программы в 2021-2025 годах.</w:t>
      </w:r>
    </w:p>
    <w:p>
      <w:pPr>
        <w:numPr>
          <w:ilvl w:val="0"/>
          <w:numId w:val="10"/>
        </w:numPr>
        <w:spacing w:before="0" w:after="60" w:line="276"/>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Поддержать резолюцию Ассоциации врачей против принудительной вакцинации от 07.06.2020 г.</w:t>
      </w:r>
    </w:p>
    <w:p>
      <w:pPr>
        <w:numPr>
          <w:ilvl w:val="0"/>
          <w:numId w:val="10"/>
        </w:numPr>
        <w:spacing w:before="0" w:after="60" w:line="276"/>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Создать Благотворительный фонд помощи и оказания поддержки жертвам психофизического террора имени Валерия Константиновича Канюки (РКК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Энергия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Психотронике на орбите - нет!</w:t>
      </w:r>
      <w:r>
        <w:rPr>
          <w:rFonts w:ascii="Times New Roman" w:hAnsi="Times New Roman" w:cs="Times New Roman" w:eastAsia="Times New Roman"/>
          <w:color w:val="000000"/>
          <w:spacing w:val="0"/>
          <w:position w:val="0"/>
          <w:sz w:val="24"/>
          <w:shd w:fill="auto" w:val="clear"/>
        </w:rPr>
        <w:t xml:space="preserve">».</w:t>
      </w:r>
    </w:p>
    <w:p>
      <w:pPr>
        <w:spacing w:before="0" w:after="60" w:line="276"/>
        <w:ind w:right="0" w:left="0" w:firstLine="357"/>
        <w:jc w:val="both"/>
        <w:rPr>
          <w:rFonts w:ascii="Times New Roman" w:hAnsi="Times New Roman" w:cs="Times New Roman" w:eastAsia="Times New Roman"/>
          <w:color w:val="auto"/>
          <w:spacing w:val="0"/>
          <w:position w:val="0"/>
          <w:sz w:val="20"/>
          <w:shd w:fill="auto" w:val="clear"/>
        </w:rPr>
      </w:pPr>
    </w:p>
    <w:p>
      <w:pPr>
        <w:spacing w:before="0" w:after="120" w:line="259"/>
        <w:ind w:right="0" w:left="360" w:firstLine="0"/>
        <w:jc w:val="both"/>
        <w:rPr>
          <w:rFonts w:ascii="Calibri" w:hAnsi="Calibri" w:cs="Calibri" w:eastAsia="Calibri"/>
          <w:color w:val="auto"/>
          <w:spacing w:val="0"/>
          <w:position w:val="0"/>
          <w:sz w:val="24"/>
          <w:shd w:fill="auto" w:val="clear"/>
        </w:rPr>
      </w:pPr>
    </w:p>
    <w:p>
      <w:pPr>
        <w:spacing w:before="0" w:after="120" w:line="259"/>
        <w:ind w:right="0" w:left="360" w:firstLine="0"/>
        <w:jc w:val="both"/>
        <w:rPr>
          <w:rFonts w:ascii="Calibri" w:hAnsi="Calibri" w:cs="Calibri" w:eastAsia="Calibri"/>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  Московского   комитета   экологии   жилища</w:t>
      </w:r>
      <w:r>
        <w:rPr>
          <w:rFonts w:ascii="Times New Roman" w:hAnsi="Times New Roman" w:cs="Times New Roman" w:eastAsia="Times New Roman"/>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комитета                                                             . . . . . . . . . . . . . . . . . . . А.Я.Петухова</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3826"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1A1A1A"/>
          <w:spacing w:val="0"/>
          <w:position w:val="0"/>
          <w:sz w:val="24"/>
          <w:shd w:fill="FFFFFF" w:val="clear"/>
        </w:rPr>
        <w:t xml:space="preserve">Общероссийской общественной организации </w:t>
      </w:r>
      <w:r>
        <w:rPr>
          <w:rFonts w:ascii="Times New Roman" w:hAnsi="Times New Roman" w:cs="Times New Roman" w:eastAsia="Times New Roman"/>
          <w:b/>
          <w:color w:val="1A1A1A"/>
          <w:spacing w:val="0"/>
          <w:position w:val="0"/>
          <w:sz w:val="24"/>
          <w:shd w:fill="FFFFFF" w:val="clear"/>
        </w:rPr>
        <w:t xml:space="preserve">«</w:t>
      </w:r>
      <w:r>
        <w:rPr>
          <w:rFonts w:ascii="Times New Roman" w:hAnsi="Times New Roman" w:cs="Times New Roman" w:eastAsia="Times New Roman"/>
          <w:b/>
          <w:color w:val="auto"/>
          <w:spacing w:val="0"/>
          <w:position w:val="0"/>
          <w:sz w:val="24"/>
          <w:shd w:fill="auto" w:val="clear"/>
        </w:rPr>
        <w:t xml:space="preserve">Российские   ученые  социалистической  ориентации</w:t>
      </w:r>
      <w:r>
        <w:rPr>
          <w:rFonts w:ascii="Times New Roman" w:hAnsi="Times New Roman" w:cs="Times New Roman" w:eastAsia="Times New Roman"/>
          <w:b/>
          <w:color w:val="auto"/>
          <w:spacing w:val="0"/>
          <w:position w:val="0"/>
          <w:sz w:val="24"/>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Организации                                                      . . . . . . . . . . . . . . . . . . . И.И.Никитчук</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 Профсоюзного объединения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РКК-Наука</w:t>
      </w:r>
      <w:r>
        <w:rPr>
          <w:rFonts w:ascii="Times New Roman" w:hAnsi="Times New Roman" w:cs="Times New Roman" w:eastAsia="Times New Roman"/>
          <w:b/>
          <w:color w:val="auto"/>
          <w:spacing w:val="0"/>
          <w:position w:val="0"/>
          <w:sz w:val="24"/>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Профобъединения                                            . . . . . . . . . . . . . . . . . . . А.С.Миронов</w:t>
      </w:r>
    </w:p>
    <w:p>
      <w:pPr>
        <w:spacing w:before="0" w:after="60" w:line="276"/>
        <w:ind w:right="0" w:left="0" w:firstLine="357"/>
        <w:jc w:val="both"/>
        <w:rPr>
          <w:rFonts w:ascii="Times New Roman" w:hAnsi="Times New Roman" w:cs="Times New Roman" w:eastAsia="Times New Roman"/>
          <w:color w:val="auto"/>
          <w:spacing w:val="0"/>
          <w:position w:val="0"/>
          <w:sz w:val="24"/>
          <w:shd w:fill="auto" w:val="clear"/>
        </w:rPr>
      </w:pPr>
    </w:p>
    <w:p>
      <w:pPr>
        <w:spacing w:before="0" w:after="60" w:line="276"/>
        <w:ind w:right="0" w:left="0" w:firstLine="357"/>
        <w:jc w:val="both"/>
        <w:rPr>
          <w:rFonts w:ascii="Times New Roman" w:hAnsi="Times New Roman" w:cs="Times New Roman" w:eastAsia="Times New Roman"/>
          <w:color w:val="auto"/>
          <w:spacing w:val="0"/>
          <w:position w:val="0"/>
          <w:sz w:val="20"/>
          <w:shd w:fill="auto" w:val="clear"/>
        </w:rPr>
      </w:pPr>
    </w:p>
    <w:p>
      <w:pPr>
        <w:spacing w:before="0" w:after="60" w:line="276"/>
        <w:ind w:right="0" w:left="0" w:firstLine="357"/>
        <w:jc w:val="both"/>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